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04" w:type="dxa"/>
        <w:tblInd w:w="0" w:type="dxa"/>
        <w:shd w:val="clear"/>
        <w:tblLayout w:type="fixed"/>
        <w:tblCellMar>
          <w:top w:w="0" w:type="dxa"/>
          <w:left w:w="0" w:type="dxa"/>
          <w:bottom w:w="0" w:type="dxa"/>
          <w:right w:w="0" w:type="dxa"/>
        </w:tblCellMar>
      </w:tblPr>
      <w:tblGrid>
        <w:gridCol w:w="743"/>
        <w:gridCol w:w="1248"/>
        <w:gridCol w:w="2748"/>
        <w:gridCol w:w="3950"/>
        <w:gridCol w:w="1035"/>
        <w:gridCol w:w="1095"/>
        <w:gridCol w:w="1095"/>
        <w:gridCol w:w="960"/>
        <w:gridCol w:w="930"/>
      </w:tblGrid>
      <w:tr>
        <w:tblPrEx>
          <w:shd w:val="clear"/>
          <w:tblCellMar>
            <w:top w:w="0" w:type="dxa"/>
            <w:left w:w="0" w:type="dxa"/>
            <w:bottom w:w="0" w:type="dxa"/>
            <w:right w:w="0" w:type="dxa"/>
          </w:tblCellMar>
        </w:tblPrEx>
        <w:trPr>
          <w:trHeight w:val="1170" w:hRule="atLeast"/>
        </w:trPr>
        <w:tc>
          <w:tcPr>
            <w:tcW w:w="13804" w:type="dxa"/>
            <w:gridSpan w:val="9"/>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48"/>
                <w:szCs w:val="48"/>
                <w:u w:val="none"/>
              </w:rPr>
            </w:pPr>
            <w:r>
              <w:rPr>
                <w:rFonts w:hint="eastAsia" w:ascii="黑体" w:hAnsi="宋体" w:eastAsia="黑体" w:cs="黑体"/>
                <w:b/>
                <w:i w:val="0"/>
                <w:color w:val="000000"/>
                <w:kern w:val="0"/>
                <w:sz w:val="48"/>
                <w:szCs w:val="48"/>
                <w:u w:val="none"/>
                <w:bdr w:val="none" w:color="auto" w:sz="0" w:space="0"/>
                <w:lang w:val="en-US" w:eastAsia="zh-CN" w:bidi="ar"/>
              </w:rPr>
              <w:t>随机抽查事项清单</w:t>
            </w:r>
          </w:p>
        </w:tc>
      </w:tr>
      <w:tr>
        <w:tblPrEx>
          <w:shd w:val="clear"/>
          <w:tblCellMar>
            <w:top w:w="0" w:type="dxa"/>
            <w:left w:w="0" w:type="dxa"/>
            <w:bottom w:w="0" w:type="dxa"/>
            <w:right w:w="0" w:type="dxa"/>
          </w:tblCellMar>
        </w:tblPrEx>
        <w:trPr>
          <w:trHeight w:val="1320"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bookmarkStart w:id="0" w:name="_GoBack" w:colFirst="8" w:colLast="8"/>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248" w:type="dxa"/>
            <w:tcBorders>
              <w:top w:val="single" w:color="000000" w:sz="4" w:space="0"/>
              <w:left w:val="nil"/>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抽查事项</w:t>
            </w:r>
          </w:p>
        </w:tc>
        <w:tc>
          <w:tcPr>
            <w:tcW w:w="2748"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检查依据</w:t>
            </w:r>
          </w:p>
        </w:tc>
        <w:tc>
          <w:tcPr>
            <w:tcW w:w="3950"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检查内容</w:t>
            </w:r>
          </w:p>
        </w:tc>
        <w:tc>
          <w:tcPr>
            <w:tcW w:w="1035"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检查方式</w:t>
            </w:r>
          </w:p>
        </w:tc>
        <w:tc>
          <w:tcPr>
            <w:tcW w:w="1095"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检查适用对象</w:t>
            </w:r>
          </w:p>
        </w:tc>
        <w:tc>
          <w:tcPr>
            <w:tcW w:w="1095"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ascii="Calibri" w:hAnsi="Calibri" w:cs="Calibri"/>
                <w:b/>
                <w:i w:val="0"/>
                <w:color w:val="000000"/>
                <w:sz w:val="22"/>
                <w:szCs w:val="22"/>
                <w:u w:val="none"/>
              </w:rPr>
            </w:pPr>
            <w:r>
              <w:rPr>
                <w:rFonts w:hint="default" w:ascii="Calibri" w:hAnsi="Calibri" w:eastAsia="宋体" w:cs="Calibri"/>
                <w:b/>
                <w:i w:val="0"/>
                <w:color w:val="000000"/>
                <w:kern w:val="0"/>
                <w:sz w:val="22"/>
                <w:szCs w:val="22"/>
                <w:u w:val="none"/>
                <w:bdr w:val="none" w:color="auto" w:sz="0" w:space="0"/>
                <w:lang w:val="en-US" w:eastAsia="zh-CN" w:bidi="ar"/>
              </w:rPr>
              <w:t>抽查比例</w:t>
            </w:r>
          </w:p>
        </w:tc>
        <w:tc>
          <w:tcPr>
            <w:tcW w:w="960"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i w:val="0"/>
                <w:color w:val="000000"/>
                <w:sz w:val="22"/>
                <w:szCs w:val="22"/>
                <w:u w:val="none"/>
              </w:rPr>
            </w:pPr>
            <w:r>
              <w:rPr>
                <w:rFonts w:hint="default" w:ascii="Calibri" w:hAnsi="Calibri" w:eastAsia="宋体" w:cs="Calibri"/>
                <w:b/>
                <w:i w:val="0"/>
                <w:color w:val="000000"/>
                <w:kern w:val="0"/>
                <w:sz w:val="22"/>
                <w:szCs w:val="22"/>
                <w:u w:val="none"/>
                <w:bdr w:val="none" w:color="auto" w:sz="0" w:space="0"/>
                <w:lang w:val="en-US" w:eastAsia="zh-CN" w:bidi="ar"/>
              </w:rPr>
              <w:t>抽查频次</w:t>
            </w:r>
          </w:p>
        </w:tc>
        <w:tc>
          <w:tcPr>
            <w:tcW w:w="930" w:type="dxa"/>
            <w:tcBorders>
              <w:top w:val="single" w:color="000000" w:sz="4" w:space="0"/>
              <w:left w:val="single" w:color="000000" w:sz="4" w:space="0"/>
              <w:bottom w:val="single" w:color="000000" w:sz="4" w:space="0"/>
              <w:right w:val="single" w:color="000000" w:sz="4" w:space="0"/>
            </w:tcBorders>
            <w:shd w:val="clear" w:color="000000" w:fill="E0E0E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bookmarkEnd w:id="0"/>
      <w:tr>
        <w:tblPrEx>
          <w:shd w:val="clear"/>
          <w:tblCellMar>
            <w:top w:w="0" w:type="dxa"/>
            <w:left w:w="0" w:type="dxa"/>
            <w:bottom w:w="0" w:type="dxa"/>
            <w:right w:w="0" w:type="dxa"/>
          </w:tblCellMar>
        </w:tblPrEx>
        <w:trPr>
          <w:trHeight w:val="4620" w:hRule="atLeast"/>
        </w:trPr>
        <w:tc>
          <w:tcPr>
            <w:tcW w:w="743"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1</w:t>
            </w:r>
          </w:p>
        </w:tc>
        <w:tc>
          <w:tcPr>
            <w:tcW w:w="1248"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农产品质量安全监督管理</w:t>
            </w:r>
          </w:p>
        </w:tc>
        <w:tc>
          <w:tcPr>
            <w:tcW w:w="2748"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《中华人民共和国农产品质量安全法》第</w:t>
            </w:r>
            <w:r>
              <w:rPr>
                <w:rStyle w:val="4"/>
                <w:rFonts w:eastAsia="宋体"/>
                <w:bdr w:val="none" w:color="auto" w:sz="0" w:space="0"/>
                <w:lang w:val="en-US" w:eastAsia="zh-CN" w:bidi="ar"/>
              </w:rPr>
              <w:t>3</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县级以上人民政府农业行政主管部门负责农产品质量安全的监督管理工作；县级以上人民政府有关部门按照职责分工，负责农产品质量安全的有关工作。</w:t>
            </w:r>
            <w:r>
              <w:rPr>
                <w:rStyle w:val="4"/>
                <w:rFonts w:eastAsia="宋体"/>
                <w:bdr w:val="none" w:color="auto" w:sz="0" w:space="0"/>
                <w:lang w:val="en-US" w:eastAsia="zh-CN" w:bidi="ar"/>
              </w:rPr>
              <w:t>”</w:t>
            </w:r>
            <w:r>
              <w:rPr>
                <w:rStyle w:val="5"/>
                <w:bdr w:val="none" w:color="auto" w:sz="0" w:space="0"/>
                <w:lang w:val="en-US" w:eastAsia="zh-CN" w:bidi="ar"/>
              </w:rPr>
              <w:t>第</w:t>
            </w:r>
            <w:r>
              <w:rPr>
                <w:rStyle w:val="4"/>
                <w:rFonts w:eastAsia="宋体"/>
                <w:bdr w:val="none" w:color="auto" w:sz="0" w:space="0"/>
                <w:lang w:val="en-US" w:eastAsia="zh-CN" w:bidi="ar"/>
              </w:rPr>
              <w:t>34</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县级以上人民政府农业行政主管部门应当按照保障农产品质量安全的要求，制定并组织实施农产品质量安全监测计划，对生产中或者市场上销售的农产品进行监督抽查。</w:t>
            </w:r>
            <w:r>
              <w:rPr>
                <w:rStyle w:val="4"/>
                <w:rFonts w:eastAsia="宋体"/>
                <w:bdr w:val="none" w:color="auto" w:sz="0" w:space="0"/>
                <w:lang w:val="en-US" w:eastAsia="zh-CN" w:bidi="ar"/>
              </w:rPr>
              <w:t>”</w:t>
            </w:r>
          </w:p>
        </w:tc>
        <w:tc>
          <w:tcPr>
            <w:tcW w:w="3950"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r>
              <w:rPr>
                <w:rStyle w:val="5"/>
                <w:bdr w:val="none" w:color="auto" w:sz="0" w:space="0"/>
                <w:lang w:val="en-US" w:eastAsia="zh-CN" w:bidi="ar"/>
              </w:rPr>
              <w:t>对农产品生产企业、农民专业合作经济组织未建立或者未按照规定保存农产品生产记录的，或者伪造农产品生产记录的处罚</w:t>
            </w:r>
            <w:r>
              <w:rPr>
                <w:rStyle w:val="4"/>
                <w:rFonts w:eastAsia="宋体"/>
                <w:bdr w:val="none" w:color="auto" w:sz="0" w:space="0"/>
                <w:lang w:val="en-US" w:eastAsia="zh-CN" w:bidi="ar"/>
              </w:rPr>
              <w:t xml:space="preserve">      2.</w:t>
            </w:r>
            <w:r>
              <w:rPr>
                <w:rStyle w:val="5"/>
                <w:bdr w:val="none" w:color="auto" w:sz="0" w:space="0"/>
                <w:lang w:val="en-US" w:eastAsia="zh-CN" w:bidi="ar"/>
              </w:rPr>
              <w:t>对农产品生产企业、农民专业合作经济组织以及从事农产品收购的单位或者个人销售的农产品，未按规定进行包装、标识的处罚</w:t>
            </w:r>
            <w:r>
              <w:rPr>
                <w:rStyle w:val="4"/>
                <w:rFonts w:eastAsia="宋体"/>
                <w:bdr w:val="none" w:color="auto" w:sz="0" w:space="0"/>
                <w:lang w:val="en-US" w:eastAsia="zh-CN" w:bidi="ar"/>
              </w:rPr>
              <w:t xml:space="preserve">   3.</w:t>
            </w:r>
            <w:r>
              <w:rPr>
                <w:rStyle w:val="5"/>
                <w:bdr w:val="none" w:color="auto" w:sz="0" w:space="0"/>
                <w:lang w:val="en-US" w:eastAsia="zh-CN" w:bidi="ar"/>
              </w:rPr>
              <w:t>对使用的保鲜剂、防腐剂、添加剂等材料不符合国家有关强制性的技术规范的处罚</w:t>
            </w:r>
            <w:r>
              <w:rPr>
                <w:rStyle w:val="4"/>
                <w:rFonts w:eastAsia="宋体"/>
                <w:bdr w:val="none" w:color="auto" w:sz="0" w:space="0"/>
                <w:lang w:val="en-US" w:eastAsia="zh-CN" w:bidi="ar"/>
              </w:rPr>
              <w:t xml:space="preserve">    4.</w:t>
            </w:r>
            <w:r>
              <w:rPr>
                <w:rStyle w:val="5"/>
                <w:bdr w:val="none" w:color="auto" w:sz="0" w:space="0"/>
                <w:lang w:val="en-US" w:eastAsia="zh-CN" w:bidi="ar"/>
              </w:rPr>
              <w:t>对冒用农产品质量标志的处罚</w:t>
            </w:r>
            <w:r>
              <w:rPr>
                <w:rStyle w:val="4"/>
                <w:rFonts w:eastAsia="宋体"/>
                <w:bdr w:val="none" w:color="auto" w:sz="0" w:space="0"/>
                <w:lang w:val="en-US" w:eastAsia="zh-CN" w:bidi="ar"/>
              </w:rPr>
              <w:t xml:space="preserve">    5.</w:t>
            </w:r>
            <w:r>
              <w:rPr>
                <w:rStyle w:val="5"/>
                <w:bdr w:val="none" w:color="auto" w:sz="0" w:space="0"/>
                <w:lang w:val="en-US" w:eastAsia="zh-CN" w:bidi="ar"/>
              </w:rPr>
              <w:t>对农产品质量安全检测机构伪造检测结果的处罚</w:t>
            </w:r>
            <w:r>
              <w:rPr>
                <w:rStyle w:val="4"/>
                <w:rFonts w:eastAsia="宋体"/>
                <w:bdr w:val="none" w:color="auto" w:sz="0" w:space="0"/>
                <w:lang w:val="en-US" w:eastAsia="zh-CN" w:bidi="ar"/>
              </w:rPr>
              <w:t xml:space="preserve">    6.</w:t>
            </w:r>
            <w:r>
              <w:rPr>
                <w:rStyle w:val="5"/>
                <w:bdr w:val="none" w:color="auto" w:sz="0" w:space="0"/>
                <w:lang w:val="en-US" w:eastAsia="zh-CN" w:bidi="ar"/>
              </w:rPr>
              <w:t>对农产品生产企业、农民专业合作经济组织销售的农产品含有国家禁止使用的农药、兽药或者其他化学物质的，农药、兽药等化学物质残留或者含有的重金属等有毒有害物质不符合农产品质量安全标准的，含有的致病性寄生虫、微生物或者生物毒素不符合农产品质量安全标准的，其他不符合农产品质量安全标准的处罚</w:t>
            </w:r>
            <w:r>
              <w:rPr>
                <w:rStyle w:val="4"/>
                <w:rFonts w:eastAsia="宋体"/>
                <w:bdr w:val="none" w:color="auto" w:sz="0" w:space="0"/>
                <w:lang w:val="en-US" w:eastAsia="zh-CN" w:bidi="ar"/>
              </w:rPr>
              <w:t xml:space="preserve">   </w:t>
            </w:r>
          </w:p>
        </w:tc>
        <w:tc>
          <w:tcPr>
            <w:tcW w:w="103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农产品及生产基地监管</w:t>
            </w:r>
          </w:p>
        </w:tc>
        <w:tc>
          <w:tcPr>
            <w:tcW w:w="109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r>
        <w:tblPrEx>
          <w:shd w:val="clear"/>
          <w:tblCellMar>
            <w:top w:w="0" w:type="dxa"/>
            <w:left w:w="0" w:type="dxa"/>
            <w:bottom w:w="0" w:type="dxa"/>
            <w:right w:w="0" w:type="dxa"/>
          </w:tblCellMar>
        </w:tblPrEx>
        <w:trPr>
          <w:trHeight w:val="5599"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w:t>
            </w:r>
          </w:p>
        </w:tc>
        <w:tc>
          <w:tcPr>
            <w:tcW w:w="124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农药监督管理</w:t>
            </w:r>
          </w:p>
        </w:tc>
        <w:tc>
          <w:tcPr>
            <w:tcW w:w="2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《中华人民共和国农药管理条例》第</w:t>
            </w:r>
            <w:r>
              <w:rPr>
                <w:rStyle w:val="4"/>
                <w:rFonts w:eastAsia="宋体"/>
                <w:bdr w:val="none" w:color="auto" w:sz="0" w:space="0"/>
                <w:lang w:val="en-US" w:eastAsia="zh-CN" w:bidi="ar"/>
              </w:rPr>
              <w:t>5</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国务院农业行政主管部门负责全国的农药登记和农药监督管理工作。省、自治区、直辖市人民政府农业行政主管部门协助国务院农业行政主管部门做好本行政区域内的农药登记，并负责本行政区域内的农药监督管理工作。县级人民政府和设区的市、自治州人民政府的农业行政主管部门负责本行政区域内的农药监督管理工作。</w:t>
            </w:r>
            <w:r>
              <w:rPr>
                <w:rStyle w:val="4"/>
                <w:rFonts w:eastAsia="宋体"/>
                <w:bdr w:val="none" w:color="auto" w:sz="0" w:space="0"/>
                <w:lang w:val="en-US" w:eastAsia="zh-CN" w:bidi="ar"/>
              </w:rPr>
              <w:t xml:space="preserve">”                       </w:t>
            </w:r>
            <w:r>
              <w:rPr>
                <w:rStyle w:val="5"/>
                <w:bdr w:val="none" w:color="auto" w:sz="0" w:space="0"/>
                <w:lang w:val="en-US" w:eastAsia="zh-CN" w:bidi="ar"/>
              </w:rPr>
              <w:t>《山西省农药管理办法》第二十一条　　　农业、化工、工商行政管理、技术监督等行政部门的农药管理执法人员按照各自的职责对辖区内的农药生产企业、经营单位和使用者的农药进行监督检查，必要时可按照规定抽取样品和索取有关资料，有关单位和个人不得拒绝和隐瞒。</w:t>
            </w:r>
            <w:r>
              <w:rPr>
                <w:rStyle w:val="4"/>
                <w:rFonts w:eastAsia="宋体"/>
                <w:bdr w:val="none" w:color="auto" w:sz="0" w:space="0"/>
                <w:lang w:val="en-US" w:eastAsia="zh-CN" w:bidi="ar"/>
              </w:rPr>
              <w:t xml:space="preserve">       </w:t>
            </w:r>
            <w:r>
              <w:rPr>
                <w:rStyle w:val="5"/>
                <w:bdr w:val="none" w:color="auto" w:sz="0" w:space="0"/>
                <w:lang w:val="en-US" w:eastAsia="zh-CN" w:bidi="ar"/>
              </w:rPr>
              <w:t>　</w:t>
            </w:r>
          </w:p>
        </w:tc>
        <w:tc>
          <w:tcPr>
            <w:tcW w:w="3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r>
              <w:rPr>
                <w:rStyle w:val="5"/>
                <w:bdr w:val="none" w:color="auto" w:sz="0" w:space="0"/>
                <w:lang w:val="en-US" w:eastAsia="zh-CN" w:bidi="ar"/>
              </w:rPr>
              <w:t>对未取得农药登记证或者农药临时登记证而擅自生产、经营农药的，生产、经营已撤销登记的农药的；农药登记证或者农药临时登记证有效期限届满未办理续展登记，擅自继续生产该农药的；生产、经营产品包装上未附标签、标签残缺不清或者擅自修改标签内容的农药产品的；不按照国家有关农药安全使用的规定使用农药的处罚</w:t>
            </w:r>
            <w:r>
              <w:rPr>
                <w:rStyle w:val="4"/>
                <w:rFonts w:eastAsia="宋体"/>
                <w:bdr w:val="none" w:color="auto" w:sz="0" w:space="0"/>
                <w:lang w:val="en-US" w:eastAsia="zh-CN" w:bidi="ar"/>
              </w:rPr>
              <w:t xml:space="preserve">    2.</w:t>
            </w:r>
            <w:r>
              <w:rPr>
                <w:rStyle w:val="5"/>
                <w:bdr w:val="none" w:color="auto" w:sz="0" w:space="0"/>
                <w:lang w:val="en-US" w:eastAsia="zh-CN" w:bidi="ar"/>
              </w:rPr>
              <w:t>对假冒、伪造、转让农药登记证（号）或者农药临时登记证（号）的处罚</w:t>
            </w:r>
            <w:r>
              <w:rPr>
                <w:rStyle w:val="4"/>
                <w:rFonts w:eastAsia="宋体"/>
                <w:bdr w:val="none" w:color="auto" w:sz="0" w:space="0"/>
                <w:lang w:val="en-US" w:eastAsia="zh-CN" w:bidi="ar"/>
              </w:rPr>
              <w:t xml:space="preserve">    3.</w:t>
            </w:r>
            <w:r>
              <w:rPr>
                <w:rStyle w:val="5"/>
                <w:bdr w:val="none" w:color="auto" w:sz="0" w:space="0"/>
                <w:lang w:val="en-US" w:eastAsia="zh-CN" w:bidi="ar"/>
              </w:rPr>
              <w:t>对生产、经营假农药、劣质农药的；生产、经营的农药产品净重（容）量低于标明值，且超过允许负偏差的处罚</w:t>
            </w:r>
            <w:r>
              <w:rPr>
                <w:rStyle w:val="4"/>
                <w:rFonts w:eastAsia="宋体"/>
                <w:bdr w:val="none" w:color="auto" w:sz="0" w:space="0"/>
                <w:lang w:val="en-US" w:eastAsia="zh-CN" w:bidi="ar"/>
              </w:rPr>
              <w:t xml:space="preserve">  4.</w:t>
            </w:r>
            <w:r>
              <w:rPr>
                <w:rStyle w:val="5"/>
                <w:bdr w:val="none" w:color="auto" w:sz="0" w:space="0"/>
                <w:lang w:val="en-US" w:eastAsia="zh-CN" w:bidi="ar"/>
              </w:rPr>
              <w:t>对未取得农药临时登记证而擅自分装农药的处罚</w:t>
            </w:r>
            <w:r>
              <w:rPr>
                <w:rStyle w:val="4"/>
                <w:rFonts w:eastAsia="宋体"/>
                <w:bdr w:val="none" w:color="auto" w:sz="0" w:space="0"/>
                <w:lang w:val="en-US" w:eastAsia="zh-CN" w:bidi="ar"/>
              </w:rPr>
              <w:t xml:space="preserve">   5.</w:t>
            </w:r>
            <w:r>
              <w:rPr>
                <w:rStyle w:val="5"/>
                <w:bdr w:val="none" w:color="auto" w:sz="0" w:space="0"/>
                <w:lang w:val="en-US" w:eastAsia="zh-CN" w:bidi="ar"/>
              </w:rPr>
              <w:t>对经营未注明</w:t>
            </w:r>
            <w:r>
              <w:rPr>
                <w:rStyle w:val="4"/>
                <w:rFonts w:eastAsia="宋体"/>
                <w:bdr w:val="none" w:color="auto" w:sz="0" w:space="0"/>
                <w:lang w:val="en-US" w:eastAsia="zh-CN" w:bidi="ar"/>
              </w:rPr>
              <w:t>“</w:t>
            </w:r>
            <w:r>
              <w:rPr>
                <w:rStyle w:val="5"/>
                <w:bdr w:val="none" w:color="auto" w:sz="0" w:space="0"/>
                <w:lang w:val="en-US" w:eastAsia="zh-CN" w:bidi="ar"/>
              </w:rPr>
              <w:t>过期农药</w:t>
            </w:r>
            <w:r>
              <w:rPr>
                <w:rStyle w:val="4"/>
                <w:rFonts w:eastAsia="宋体"/>
                <w:bdr w:val="none" w:color="auto" w:sz="0" w:space="0"/>
                <w:lang w:val="en-US" w:eastAsia="zh-CN" w:bidi="ar"/>
              </w:rPr>
              <w:t>”</w:t>
            </w:r>
            <w:r>
              <w:rPr>
                <w:rStyle w:val="5"/>
                <w:bdr w:val="none" w:color="auto" w:sz="0" w:space="0"/>
                <w:lang w:val="en-US" w:eastAsia="zh-CN" w:bidi="ar"/>
              </w:rPr>
              <w:t>字样的超过产品质量保证期的农药产品的处罚</w:t>
            </w:r>
            <w:r>
              <w:rPr>
                <w:rStyle w:val="4"/>
                <w:rFonts w:eastAsia="宋体"/>
                <w:bdr w:val="none" w:color="auto" w:sz="0" w:space="0"/>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r>
        <w:tblPrEx>
          <w:shd w:val="clear"/>
          <w:tblCellMar>
            <w:top w:w="0" w:type="dxa"/>
            <w:left w:w="0" w:type="dxa"/>
            <w:bottom w:w="0" w:type="dxa"/>
            <w:right w:w="0" w:type="dxa"/>
          </w:tblCellMar>
        </w:tblPrEx>
        <w:trPr>
          <w:trHeight w:val="2539"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3</w:t>
            </w:r>
          </w:p>
        </w:tc>
        <w:tc>
          <w:tcPr>
            <w:tcW w:w="124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肥料监督管理</w:t>
            </w:r>
          </w:p>
        </w:tc>
        <w:tc>
          <w:tcPr>
            <w:tcW w:w="2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《肥料登记管理办法》（农业部令第</w:t>
            </w:r>
            <w:r>
              <w:rPr>
                <w:rStyle w:val="4"/>
                <w:rFonts w:eastAsia="宋体"/>
                <w:bdr w:val="none" w:color="auto" w:sz="0" w:space="0"/>
                <w:lang w:val="en-US" w:eastAsia="zh-CN" w:bidi="ar"/>
              </w:rPr>
              <w:t>32</w:t>
            </w:r>
            <w:r>
              <w:rPr>
                <w:rStyle w:val="5"/>
                <w:bdr w:val="none" w:color="auto" w:sz="0" w:space="0"/>
                <w:lang w:val="en-US" w:eastAsia="zh-CN" w:bidi="ar"/>
              </w:rPr>
              <w:t>号公布）第</w:t>
            </w:r>
            <w:r>
              <w:rPr>
                <w:rStyle w:val="4"/>
                <w:rFonts w:eastAsia="宋体"/>
                <w:bdr w:val="none" w:color="auto" w:sz="0" w:space="0"/>
                <w:lang w:val="en-US" w:eastAsia="zh-CN" w:bidi="ar"/>
              </w:rPr>
              <w:t>7</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县级以上地方人民政府农业行政主管部门负责本行政区域内的肥料监督管理工作。</w:t>
            </w:r>
            <w:r>
              <w:rPr>
                <w:rStyle w:val="4"/>
                <w:rFonts w:eastAsia="宋体"/>
                <w:bdr w:val="none" w:color="auto" w:sz="0" w:space="0"/>
                <w:lang w:val="en-US" w:eastAsia="zh-CN" w:bidi="ar"/>
              </w:rPr>
              <w:t xml:space="preserve">”                     </w:t>
            </w:r>
          </w:p>
        </w:tc>
        <w:tc>
          <w:tcPr>
            <w:tcW w:w="3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r>
              <w:rPr>
                <w:rStyle w:val="5"/>
                <w:bdr w:val="none" w:color="auto" w:sz="0" w:space="0"/>
                <w:lang w:val="en-US" w:eastAsia="zh-CN" w:bidi="ar"/>
              </w:rPr>
              <w:t>对生产、销售未取得登记证的肥料产品；假冒、伪造肥料登记证、登记证号的；生产、销售的肥料产品有效成分或含量与登记批准的内容不符的处罚</w:t>
            </w:r>
            <w:r>
              <w:rPr>
                <w:rStyle w:val="4"/>
                <w:rFonts w:eastAsia="宋体"/>
                <w:bdr w:val="none" w:color="auto" w:sz="0" w:space="0"/>
                <w:lang w:val="en-US" w:eastAsia="zh-CN" w:bidi="ar"/>
              </w:rPr>
              <w:t xml:space="preserve">    2.</w:t>
            </w:r>
            <w:r>
              <w:rPr>
                <w:rStyle w:val="5"/>
                <w:bdr w:val="none" w:color="auto" w:sz="0" w:space="0"/>
                <w:lang w:val="en-US" w:eastAsia="zh-CN" w:bidi="ar"/>
              </w:rPr>
              <w:t>对转让肥料登记证或登记证号的；登记证有效期满未经批准续展登记而继续生产该肥料产品的；生产、销售包装上未附标签、标签残缺不清或者擅自修改标签内容的处罚</w:t>
            </w:r>
            <w:r>
              <w:rPr>
                <w:rStyle w:val="4"/>
                <w:rFonts w:eastAsia="宋体"/>
                <w:bdr w:val="none" w:color="auto" w:sz="0" w:space="0"/>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肥料</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r>
        <w:tblPrEx>
          <w:shd w:val="clear"/>
          <w:tblCellMar>
            <w:top w:w="0" w:type="dxa"/>
            <w:left w:w="0" w:type="dxa"/>
            <w:bottom w:w="0" w:type="dxa"/>
            <w:right w:w="0" w:type="dxa"/>
          </w:tblCellMar>
        </w:tblPrEx>
        <w:trPr>
          <w:trHeight w:val="2040"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4</w:t>
            </w:r>
          </w:p>
        </w:tc>
        <w:tc>
          <w:tcPr>
            <w:tcW w:w="124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农业转基因生物安全的监督管理</w:t>
            </w:r>
          </w:p>
        </w:tc>
        <w:tc>
          <w:tcPr>
            <w:tcW w:w="2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《农业转基因生物安全管理条例》（国务院令第</w:t>
            </w:r>
            <w:r>
              <w:rPr>
                <w:rStyle w:val="4"/>
                <w:rFonts w:eastAsia="宋体"/>
                <w:bdr w:val="none" w:color="auto" w:sz="0" w:space="0"/>
                <w:lang w:val="en-US" w:eastAsia="zh-CN" w:bidi="ar"/>
              </w:rPr>
              <w:t>304</w:t>
            </w:r>
            <w:r>
              <w:rPr>
                <w:rStyle w:val="5"/>
                <w:bdr w:val="none" w:color="auto" w:sz="0" w:space="0"/>
                <w:lang w:val="en-US" w:eastAsia="zh-CN" w:bidi="ar"/>
              </w:rPr>
              <w:t>号公布）第</w:t>
            </w:r>
            <w:r>
              <w:rPr>
                <w:rStyle w:val="4"/>
                <w:rFonts w:eastAsia="宋体"/>
                <w:bdr w:val="none" w:color="auto" w:sz="0" w:space="0"/>
                <w:lang w:val="en-US" w:eastAsia="zh-CN" w:bidi="ar"/>
              </w:rPr>
              <w:t>4</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县级以上地方各级人民政府农业行政主管部门负责本行政区域内的农业转基因生物安全的监督管理工作。</w:t>
            </w:r>
            <w:r>
              <w:rPr>
                <w:rStyle w:val="4"/>
                <w:rFonts w:eastAsia="宋体"/>
                <w:bdr w:val="none" w:color="auto" w:sz="0" w:space="0"/>
                <w:lang w:val="en-US" w:eastAsia="zh-CN" w:bidi="ar"/>
              </w:rPr>
              <w:t>”</w:t>
            </w:r>
          </w:p>
        </w:tc>
        <w:tc>
          <w:tcPr>
            <w:tcW w:w="3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r>
              <w:rPr>
                <w:rStyle w:val="5"/>
                <w:bdr w:val="none" w:color="auto" w:sz="0" w:space="0"/>
                <w:lang w:val="en-US" w:eastAsia="zh-CN" w:bidi="ar"/>
              </w:rPr>
              <w:t>对转基因植物种子、种畜禽、水产苗种的生产、经营单位和个人，未按照规定制作、保存生产、经营档案的处罚</w:t>
            </w:r>
            <w:r>
              <w:rPr>
                <w:rStyle w:val="4"/>
                <w:rFonts w:eastAsia="宋体"/>
                <w:bdr w:val="none" w:color="auto" w:sz="0" w:space="0"/>
                <w:lang w:val="en-US" w:eastAsia="zh-CN" w:bidi="ar"/>
              </w:rPr>
              <w:t xml:space="preserve">    2.</w:t>
            </w:r>
            <w:r>
              <w:rPr>
                <w:rStyle w:val="5"/>
                <w:bdr w:val="none" w:color="auto" w:sz="0" w:space="0"/>
                <w:lang w:val="en-US" w:eastAsia="zh-CN" w:bidi="ar"/>
              </w:rPr>
              <w:t>对违反农业转基因生物标识管理规定的处罚</w:t>
            </w:r>
            <w:r>
              <w:rPr>
                <w:rStyle w:val="4"/>
                <w:rFonts w:eastAsia="宋体"/>
                <w:bdr w:val="none" w:color="auto" w:sz="0" w:space="0"/>
                <w:lang w:val="en-US" w:eastAsia="zh-CN" w:bidi="ar"/>
              </w:rPr>
              <w:t xml:space="preserve">     3.</w:t>
            </w:r>
            <w:r>
              <w:rPr>
                <w:rStyle w:val="5"/>
                <w:bdr w:val="none" w:color="auto" w:sz="0" w:space="0"/>
                <w:lang w:val="en-US" w:eastAsia="zh-CN" w:bidi="ar"/>
              </w:rPr>
              <w:t>对假冒、伪造、转让或者买卖农业转基因生物有关证明文书的处罚</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农业转基因</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r>
        <w:tblPrEx>
          <w:shd w:val="clear"/>
          <w:tblCellMar>
            <w:top w:w="0" w:type="dxa"/>
            <w:left w:w="0" w:type="dxa"/>
            <w:bottom w:w="0" w:type="dxa"/>
            <w:right w:w="0" w:type="dxa"/>
          </w:tblCellMar>
        </w:tblPrEx>
        <w:trPr>
          <w:trHeight w:val="1579"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5</w:t>
            </w:r>
          </w:p>
        </w:tc>
        <w:tc>
          <w:tcPr>
            <w:tcW w:w="124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植物检疫</w:t>
            </w:r>
          </w:p>
        </w:tc>
        <w:tc>
          <w:tcPr>
            <w:tcW w:w="2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《植物检疫条例》（国务院发布）第</w:t>
            </w:r>
            <w:r>
              <w:rPr>
                <w:rStyle w:val="4"/>
                <w:rFonts w:eastAsia="宋体"/>
                <w:bdr w:val="none" w:color="auto" w:sz="0" w:space="0"/>
                <w:lang w:val="en-US" w:eastAsia="zh-CN" w:bidi="ar"/>
              </w:rPr>
              <w:t>3</w:t>
            </w:r>
            <w:r>
              <w:rPr>
                <w:rStyle w:val="5"/>
                <w:bdr w:val="none" w:color="auto" w:sz="0" w:space="0"/>
                <w:lang w:val="en-US" w:eastAsia="zh-CN" w:bidi="ar"/>
              </w:rPr>
              <w:t>条，</w:t>
            </w:r>
            <w:r>
              <w:rPr>
                <w:rStyle w:val="4"/>
                <w:rFonts w:eastAsia="宋体"/>
                <w:bdr w:val="none" w:color="auto" w:sz="0" w:space="0"/>
                <w:lang w:val="en-US" w:eastAsia="zh-CN" w:bidi="ar"/>
              </w:rPr>
              <w:t>“</w:t>
            </w:r>
            <w:r>
              <w:rPr>
                <w:rStyle w:val="5"/>
                <w:bdr w:val="none" w:color="auto" w:sz="0" w:space="0"/>
                <w:lang w:val="en-US" w:eastAsia="zh-CN" w:bidi="ar"/>
              </w:rPr>
              <w:t>县级以上地方各级农业主管部门、林业主管部门所属的植物检疫机构，负责执行国家的植物检疫任务。</w:t>
            </w:r>
            <w:r>
              <w:rPr>
                <w:rStyle w:val="4"/>
                <w:rFonts w:eastAsia="宋体"/>
                <w:bdr w:val="none" w:color="auto" w:sz="0" w:space="0"/>
                <w:lang w:val="en-US" w:eastAsia="zh-CN" w:bidi="ar"/>
              </w:rPr>
              <w:t>”</w:t>
            </w:r>
          </w:p>
        </w:tc>
        <w:tc>
          <w:tcPr>
            <w:tcW w:w="3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对检疫对象进行检疫</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植物检疫</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r>
        <w:tblPrEx>
          <w:shd w:val="clear"/>
          <w:tblCellMar>
            <w:top w:w="0" w:type="dxa"/>
            <w:left w:w="0" w:type="dxa"/>
            <w:bottom w:w="0" w:type="dxa"/>
            <w:right w:w="0" w:type="dxa"/>
          </w:tblCellMar>
        </w:tblPrEx>
        <w:trPr>
          <w:trHeight w:val="5820" w:hRule="atLeast"/>
        </w:trPr>
        <w:tc>
          <w:tcPr>
            <w:tcW w:w="7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6</w:t>
            </w:r>
          </w:p>
        </w:tc>
        <w:tc>
          <w:tcPr>
            <w:tcW w:w="1248"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种子行政执法检查</w:t>
            </w:r>
          </w:p>
        </w:tc>
        <w:tc>
          <w:tcPr>
            <w:tcW w:w="27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《中华人民共和国种子法》第三条</w:t>
            </w:r>
            <w:r>
              <w:rPr>
                <w:rStyle w:val="4"/>
                <w:rFonts w:eastAsia="宋体"/>
                <w:bdr w:val="none" w:color="auto" w:sz="0" w:space="0"/>
                <w:lang w:val="en-US" w:eastAsia="zh-CN" w:bidi="ar"/>
              </w:rPr>
              <w:t xml:space="preserve"> </w:t>
            </w:r>
            <w:r>
              <w:rPr>
                <w:rStyle w:val="5"/>
                <w:bdr w:val="none" w:color="auto" w:sz="0" w:space="0"/>
                <w:lang w:val="en-US" w:eastAsia="zh-CN" w:bidi="ar"/>
              </w:rPr>
              <w:t>国务院农业、林业主管部门分别主管全国农作物种子和林木种子工作；县级以上地方人民政府农业、林业主管部门分别主管本行政区域内农作物种子和林木种子工作。</w:t>
            </w:r>
            <w:r>
              <w:rPr>
                <w:rStyle w:val="4"/>
                <w:rFonts w:eastAsia="宋体"/>
                <w:bdr w:val="none" w:color="auto" w:sz="0" w:space="0"/>
                <w:lang w:val="en-US" w:eastAsia="zh-CN" w:bidi="ar"/>
              </w:rPr>
              <w:t xml:space="preserve">   </w:t>
            </w:r>
            <w:r>
              <w:rPr>
                <w:rStyle w:val="5"/>
                <w:bdr w:val="none" w:color="auto" w:sz="0" w:space="0"/>
                <w:lang w:val="en-US" w:eastAsia="zh-CN" w:bidi="ar"/>
              </w:rPr>
              <w:t>各级人民政府及其有关部门应当采取措施，加强种子执法和监督，依法惩处侵害农民权益的种子违法行为。</w:t>
            </w:r>
          </w:p>
        </w:tc>
        <w:tc>
          <w:tcPr>
            <w:tcW w:w="3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r>
              <w:rPr>
                <w:rStyle w:val="5"/>
                <w:bdr w:val="none" w:color="auto" w:sz="0" w:space="0"/>
                <w:lang w:val="en-US" w:eastAsia="zh-CN" w:bidi="ar"/>
              </w:rPr>
              <w:t>对生产、经营假、劣种子的处罚</w:t>
            </w:r>
            <w:r>
              <w:rPr>
                <w:rStyle w:val="4"/>
                <w:rFonts w:eastAsia="宋体"/>
                <w:bdr w:val="none" w:color="auto" w:sz="0" w:space="0"/>
                <w:lang w:val="en-US" w:eastAsia="zh-CN" w:bidi="ar"/>
              </w:rPr>
              <w:t>;2.</w:t>
            </w:r>
            <w:r>
              <w:rPr>
                <w:rStyle w:val="5"/>
                <w:bdr w:val="none" w:color="auto" w:sz="0" w:space="0"/>
                <w:lang w:val="en-US" w:eastAsia="zh-CN" w:bidi="ar"/>
              </w:rPr>
              <w:t>对未取得种子生产（经营）许可证生产、经营种子</w:t>
            </w:r>
            <w:r>
              <w:rPr>
                <w:rStyle w:val="4"/>
                <w:rFonts w:eastAsia="宋体"/>
                <w:bdr w:val="none" w:color="auto" w:sz="0" w:space="0"/>
                <w:lang w:val="en-US" w:eastAsia="zh-CN" w:bidi="ar"/>
              </w:rPr>
              <w:t>,</w:t>
            </w:r>
            <w:r>
              <w:rPr>
                <w:rStyle w:val="5"/>
                <w:bdr w:val="none" w:color="auto" w:sz="0" w:space="0"/>
                <w:lang w:val="en-US" w:eastAsia="zh-CN" w:bidi="ar"/>
              </w:rPr>
              <w:t>或以欺骗、贿赂等不正当手段取得种子生产经营许可证的，伪造、变造、买卖、租借种子生产（经营）许可证生产、经营种子</w:t>
            </w:r>
            <w:r>
              <w:rPr>
                <w:rStyle w:val="4"/>
                <w:rFonts w:eastAsia="宋体"/>
                <w:bdr w:val="none" w:color="auto" w:sz="0" w:space="0"/>
                <w:lang w:val="en-US" w:eastAsia="zh-CN" w:bidi="ar"/>
              </w:rPr>
              <w:t>,</w:t>
            </w:r>
            <w:r>
              <w:rPr>
                <w:rStyle w:val="5"/>
                <w:bdr w:val="none" w:color="auto" w:sz="0" w:space="0"/>
                <w:lang w:val="en-US" w:eastAsia="zh-CN" w:bidi="ar"/>
              </w:rPr>
              <w:t>未按种子生产（经营）许可证的规定生产（经营）种子的处罚</w:t>
            </w:r>
            <w:r>
              <w:rPr>
                <w:rStyle w:val="4"/>
                <w:rFonts w:eastAsia="宋体"/>
                <w:bdr w:val="none" w:color="auto" w:sz="0" w:space="0"/>
                <w:lang w:val="en-US" w:eastAsia="zh-CN" w:bidi="ar"/>
              </w:rPr>
              <w:t>;3.</w:t>
            </w:r>
            <w:r>
              <w:rPr>
                <w:rStyle w:val="5"/>
                <w:bdr w:val="none" w:color="auto" w:sz="0" w:space="0"/>
                <w:lang w:val="en-US" w:eastAsia="zh-CN" w:bidi="ar"/>
              </w:rPr>
              <w:t>对未经许可进出口种子的、为境外制种的种子在境内销售的、从境外引进农作物或者林木种子进行引种试验的收获物作为种子在境内销售进出口假、劣种子或者属于国家规定不得进出口的种子的处罚</w:t>
            </w:r>
            <w:r>
              <w:rPr>
                <w:rStyle w:val="4"/>
                <w:rFonts w:eastAsia="宋体"/>
                <w:bdr w:val="none" w:color="auto" w:sz="0" w:space="0"/>
                <w:lang w:val="en-US" w:eastAsia="zh-CN" w:bidi="ar"/>
              </w:rPr>
              <w:t>;4.</w:t>
            </w:r>
            <w:r>
              <w:rPr>
                <w:rStyle w:val="5"/>
                <w:bdr w:val="none" w:color="auto" w:sz="0" w:space="0"/>
                <w:lang w:val="en-US" w:eastAsia="zh-CN" w:bidi="ar"/>
              </w:rPr>
              <w:t>经营的种子应当包装而没有包装的，伪造、涂改标签或者试验、检验数据的，对经营的种子没有标签、经营的种子标签内容不符合《种子法》规定的</w:t>
            </w:r>
            <w:r>
              <w:rPr>
                <w:rStyle w:val="4"/>
                <w:rFonts w:eastAsia="宋体"/>
                <w:bdr w:val="none" w:color="auto" w:sz="0" w:space="0"/>
                <w:lang w:val="en-US" w:eastAsia="zh-CN" w:bidi="ar"/>
              </w:rPr>
              <w:t>,</w:t>
            </w:r>
            <w:r>
              <w:rPr>
                <w:rStyle w:val="5"/>
                <w:bdr w:val="none" w:color="auto" w:sz="0" w:space="0"/>
                <w:lang w:val="en-US" w:eastAsia="zh-CN" w:bidi="ar"/>
              </w:rPr>
              <w:t>未按规定制作、保存种子生产、经营档案的，种子经营者在异地设立分支机构未按规定备案的处罚</w:t>
            </w:r>
            <w:r>
              <w:rPr>
                <w:rStyle w:val="4"/>
                <w:rFonts w:eastAsia="宋体"/>
                <w:bdr w:val="none" w:color="auto" w:sz="0" w:space="0"/>
                <w:lang w:val="en-US" w:eastAsia="zh-CN" w:bidi="ar"/>
              </w:rPr>
              <w:t>;5.</w:t>
            </w:r>
            <w:r>
              <w:rPr>
                <w:rStyle w:val="5"/>
                <w:bdr w:val="none" w:color="auto" w:sz="0" w:space="0"/>
                <w:lang w:val="en-US" w:eastAsia="zh-CN" w:bidi="ar"/>
              </w:rPr>
              <w:t>对应当审定未经审定的农作物品种进行推广、销售的；推广、销售应当停止推广、销售的农作物品种或者林木良种的；对应当登记未经登记的农作物品种进行推广，或者以登记品种的名义进行销售的；对已撤销登记的农作物品种进行推广，或者以登记品种的名义进行销售的处罚</w:t>
            </w:r>
            <w:r>
              <w:rPr>
                <w:rStyle w:val="4"/>
                <w:rFonts w:eastAsia="宋体"/>
                <w:bdr w:val="none" w:color="auto" w:sz="0" w:space="0"/>
                <w:lang w:val="en-US" w:eastAsia="zh-CN" w:bidi="ar"/>
              </w:rPr>
              <w:t>;6.</w:t>
            </w:r>
            <w:r>
              <w:rPr>
                <w:rStyle w:val="5"/>
                <w:bdr w:val="none" w:color="auto" w:sz="0" w:space="0"/>
                <w:lang w:val="en-US" w:eastAsia="zh-CN" w:bidi="ar"/>
              </w:rPr>
              <w:t>对在种子生产基地进行检疫性有害生物接种试验的处罚。</w:t>
            </w:r>
          </w:p>
        </w:tc>
        <w:tc>
          <w:tcPr>
            <w:tcW w:w="1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实地核查、书面检查</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种子</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bdr w:val="none" w:color="auto" w:sz="0" w:space="0"/>
                <w:lang w:val="en-US" w:eastAsia="zh-CN" w:bidi="ar"/>
              </w:rPr>
              <w:t>2次/家/年</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cs="Calibri"/>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E0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default" w:ascii="Calibri" w:hAnsi="Calibri" w:cs="Calibri"/>
      <w:color w:val="000000"/>
      <w:sz w:val="18"/>
      <w:szCs w:val="18"/>
      <w:u w:val="none"/>
    </w:rPr>
  </w:style>
  <w:style w:type="character" w:customStyle="1" w:styleId="5">
    <w:name w:val="font11"/>
    <w:basedOn w:val="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2021-04-23T02:50:02Z</dcterms:created>
  <dc:creator>Administrator</dc:creator>
  <cp:lastModifiedBy>Administrator</cp:lastModifiedBy>
  <dcterms:modified xsi:type="dcterms:W3CDTF">2021-04-23T02:51:35Z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