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垣曲县人社局行政职权风险防控图（行政确认类）</w:t>
      </w:r>
    </w:p>
    <w:p>
      <w:pPr>
        <w:snapToGrid w:val="0"/>
        <w:ind w:firstLine="54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城乡居民养老保险参保登记</w:t>
      </w:r>
    </w:p>
    <w:p>
      <w:pPr>
        <w:snapToGrid w:val="0"/>
        <w:ind w:firstLine="542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26" o:spid="_x0000_s1026" o:spt="202" type="#_x0000_t202" style="position:absolute;left:0pt;margin-left:329pt;margin-top:21.05pt;height:145.2pt;width:143.4pt;z-index:25166950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1.加强廉政教育，开展警示活动，认真学习相关法律法规和政策；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2.制度受理、审核、审批；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3.首问负责制度；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6.一次性告知制度；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7.政务公示制度；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8.责任追究制度。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责任人：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城乡居保中心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征缴科</w:t>
                  </w:r>
                </w:p>
              </w:txbxContent>
            </v:textbox>
          </v:shape>
        </w:pict>
      </w:r>
    </w:p>
    <w:p>
      <w:pPr>
        <w:snapToGrid w:val="0"/>
        <w:ind w:firstLine="315"/>
        <w:jc w:val="center"/>
      </w:pP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27" o:spid="_x0000_s1027" o:spt="202" type="#_x0000_t202" style="position:absolute;left:0pt;margin-left:9.7pt;margin-top:9.15pt;height:104.6pt;width:125.3pt;z-index:25166848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1.对不符合条件的予以受理，对符合条件的不予受理或无正当理由拖延受理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2.收受财物或娱乐消费等。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3.未一次性告知和说明所需材料。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  <w:r>
                    <w:rPr>
                      <w:sz w:val="18"/>
                      <w:szCs w:val="18"/>
                    </w:rPr>
                    <w:t>低</w:t>
                  </w:r>
                </w:p>
              </w:txbxContent>
            </v:textbox>
          </v:shape>
        </w:pict>
      </w:r>
    </w:p>
    <w:p>
      <w:pPr>
        <w:ind w:firstLine="315"/>
      </w:pP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8" o:spid="_x0000_s1028" o:spt="202" type="#_x0000_t202" style="position:absolute;left:0pt;margin-left:273.7pt;margin-top:7.8pt;height:23.7pt;width:59.3pt;z-index:25167155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29" o:spid="_x0000_s1029" o:spt="202" type="#_x0000_t202" style="position:absolute;left:0pt;margin-left:153pt;margin-top:7.8pt;height:23.35pt;width:48.7pt;z-index:25167052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52" o:spid="_x0000_s1030" o:spt="1" style="position:absolute;left:0pt;margin-left:193.5pt;margin-top:5.7pt;height:25.5pt;width:76.5pt;z-index:25166745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rect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line id="_x0000_s1031" o:spid="_x0000_s1031" o:spt="20" style="position:absolute;left:0pt;flip:x;margin-left:135pt;margin-top:0pt;height:0.4pt;width:58.1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line id="_x0000_s1032" o:spid="_x0000_s1032" o:spt="20" style="position:absolute;left:0pt;margin-left:270pt;margin-top:0pt;height:0.05pt;width:58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AutoShape 25" o:spid="_x0000_s1033" o:spt="32" type="#_x0000_t32" style="position:absolute;left:0pt;flip:x;margin-left:233.85pt;margin-top:0pt;height:109.2pt;width:0.15pt;z-index:251674624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ind w:firstLine="315"/>
      </w:pPr>
    </w:p>
    <w:p>
      <w:pPr>
        <w:ind w:firstLine="315"/>
      </w:pPr>
    </w:p>
    <w:p>
      <w:pPr>
        <w:ind w:firstLine="315"/>
      </w:pP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34" o:spid="_x0000_s1034" o:spt="202" type="#_x0000_t202" style="position:absolute;left:0pt;margin-left:332.4pt;margin-top:14.25pt;height:105.6pt;width:129.25pt;z-index:25166131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5.责任追究制度。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责任人：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城乡居保中心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征缴科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文本框 5915" o:spid="_x0000_s1035" o:spt="202" type="#_x0000_t202" style="position:absolute;left:0pt;margin-left:11.2pt;margin-top:2.25pt;height:119.9pt;width:125.3pt;z-index:2516602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对申请材料的审核把关不严；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资料审核事实不清、疏忽或故意隐瞒；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未按规定程序进行操作；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4.刁难申请人，徇私谋利；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5.审查超时。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  <w:r>
                    <w:rPr>
                      <w:sz w:val="18"/>
                      <w:szCs w:val="18"/>
                    </w:rPr>
                    <w:t>低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ind w:firstLine="315"/>
      </w:pP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Text Box 71" o:spid="_x0000_s1036" o:spt="202" type="#_x0000_t202" style="position:absolute;left:0pt;margin-left:153pt;margin-top:7.8pt;height:23.35pt;width:48.7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37" o:spid="_x0000_s1037" o:spt="202" type="#_x0000_t202" style="position:absolute;left:0pt;margin-left:270pt;margin-top:7.8pt;height:23.7pt;width:59.3pt;z-index:2516654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76" o:spid="_x0000_s1038" o:spt="1" style="position:absolute;left:0pt;margin-left:198pt;margin-top:0pt;height:25.5pt;width:76.55pt;z-index:2516623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Cs w:val="21"/>
                      <w:lang w:val="zh-CN"/>
                    </w:rPr>
                    <w:t>承办</w:t>
                  </w:r>
                </w:p>
              </w:txbxContent>
            </v:textbox>
          </v:rect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line id="箭头 5926" o:spid="_x0000_s1039" o:spt="20" style="position:absolute;left:0pt;margin-left:274.9pt;margin-top:0pt;height:0.15pt;width:58.1pt;z-index:2516664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line id="箭头 5919" o:spid="_x0000_s1040" o:spt="20" style="position:absolute;left:0pt;flip:x;margin-left:139.9pt;margin-top:0pt;height:0.55pt;width:58.1pt;z-index:2516643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41" o:spid="_x0000_s1041" o:spt="32" type="#_x0000_t32" style="position:absolute;left:0pt;flip:x;margin-left:233.85pt;margin-top:0pt;height:78pt;width:0.15pt;z-index:251675648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ind w:firstLine="315"/>
      </w:pPr>
    </w:p>
    <w:p>
      <w:pPr>
        <w:ind w:firstLine="315"/>
      </w:pP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2" o:spid="_x0000_s1042" o:spt="202" type="#_x0000_t202" style="position:absolute;left:0pt;margin-left:332.6pt;margin-top:2.3pt;height:108.15pt;width:131.4pt;z-index:251683840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5.责任追究制度。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责任人：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城乡居保中心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征缴科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3" o:spid="_x0000_s1043" o:spt="202" type="#_x0000_t202" style="position:absolute;left:0pt;margin-left:12.7pt;margin-top:2.2pt;height:122.15pt;width:125.3pt;z-index:251681792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违规审批，对不符合法定条件的申请人准予行政审批的，对符合法定条件的申请人不予行政审批。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刁难申请人，徇私谋利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审批超时。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  <w:r>
                    <w:rPr>
                      <w:sz w:val="18"/>
                      <w:szCs w:val="18"/>
                    </w:rPr>
                    <w:t>低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jc w:val="left"/>
                    <w:rPr>
                      <w:sz w:val="18"/>
                      <w:szCs w:val="18"/>
                    </w:rPr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4" o:spid="_x0000_s1044" o:spt="202" type="#_x0000_t202" style="position:absolute;left:0pt;margin-left:270pt;margin-top:7.8pt;height:23.7pt;width:59.3pt;z-index:25168076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45" o:spid="_x0000_s1045" o:spt="202" type="#_x0000_t202" style="position:absolute;left:0pt;margin-left:149.3pt;margin-top:7.8pt;height:23.35pt;width:48.7pt;z-index:25167974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rect id="Rectangle 61" o:spid="_x0000_s1046" o:spt="1" style="position:absolute;left:0pt;margin-left:198pt;margin-top:5.35pt;height:25.5pt;width:76.55pt;z-index:251659264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spacing w:line="286" w:lineRule="auto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审批</w:t>
                  </w:r>
                </w:p>
              </w:txbxContent>
            </v:textbox>
          </v:rect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7" o:spid="_x0000_s1047" o:spt="20" style="position:absolute;left:0pt;margin-left:274.9pt;margin-top:0pt;height:0.15pt;width:58.1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line id="_x0000_s1048" o:spid="_x0000_s1048" o:spt="20" style="position:absolute;left:0pt;flip:x;margin-left:139.9pt;margin-top:0pt;height:0.55pt;width:58.1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firstLine="315"/>
      </w:pPr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_x0000_s1049" o:spid="_x0000_s1049" o:spt="32" type="#_x0000_t32" style="position:absolute;left:0pt;margin-left:234pt;margin-top:0pt;height:85.95pt;width:0.05pt;z-index:251676672;mso-width-relative:page;mso-height-relative:page;" fillcolor="#FFFFFF" filled="t" o:preferrelative="t" stroked="t" coordsize="21600,21600">
            <v:path arrowok="t"/>
            <v:fill on="t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ind w:firstLine="315"/>
      </w:pPr>
    </w:p>
    <w:p>
      <w:pPr>
        <w:ind w:firstLine="315"/>
      </w:pPr>
    </w:p>
    <w:p>
      <w:pPr>
        <w:ind w:firstLine="663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0" o:spid="_x0000_s1050" o:spt="202" type="#_x0000_t202" style="position:absolute;left:0pt;margin-left:333pt;margin-top:23.6pt;height:135.15pt;width:132.2pt;z-index:25168793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1.制定受理、审核、审批操作规程；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2.服务承诺制度；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3.痕迹管理制度；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4.限时办结制度；</w:t>
                  </w:r>
                </w:p>
                <w:p>
                  <w:pPr>
                    <w:spacing w:line="240" w:lineRule="exact"/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sz w:val="18"/>
                      <w:szCs w:val="18"/>
                    </w:rPr>
                    <w:t>5.失职追究制度；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6.否定报备制度；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7.档案材料管理制度；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8.限时纠正制度。</w:t>
                  </w:r>
                </w:p>
                <w:p>
                  <w:pPr>
                    <w:spacing w:line="240" w:lineRule="exact"/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lang w:eastAsia="zh-CN"/>
                    </w:rPr>
                    <w:t>责任人：</w:t>
                  </w:r>
                  <w:r>
                    <w:rPr>
                      <w:rFonts w:hint="eastAsia" w:ascii="宋体" w:hAnsi="宋体" w:cs="宋体"/>
                      <w:sz w:val="18"/>
                      <w:szCs w:val="18"/>
                      <w:lang w:eastAsia="zh-CN"/>
                    </w:rPr>
                    <w:t>城乡居保中心</w:t>
                  </w:r>
                  <w: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  <w:t>征缴科</w:t>
                  </w:r>
                </w:p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1" o:spid="_x0000_s1051" o:spt="202" type="#_x0000_t202" style="position:absolute;left:0pt;margin-left:153pt;margin-top:23.55pt;height:23.35pt;width:48.7pt;z-index:2516899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风险点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2" o:spid="_x0000_s1052" o:spt="202" type="#_x0000_t202" style="position:absolute;left:0pt;margin-left:270pt;margin-top:23.55pt;height:23.7pt;width:59.3pt;z-index:2516889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制度措施</w:t>
                  </w:r>
                </w:p>
              </w:txbxContent>
            </v:textbox>
          </v:shape>
        </w:pict>
      </w:r>
    </w:p>
    <w:p>
      <w:pPr>
        <w:ind w:firstLine="663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shape id="_x0000_s1053" o:spid="_x0000_s1053" o:spt="202" type="#_x0000_t202" style="position:absolute;left:0pt;margin-left:9pt;margin-top:7.95pt;height:36.6pt;width:135pt;z-index:251685888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pacing w:line="240" w:lineRule="exac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1.未及时传达文件</w:t>
                  </w:r>
                </w:p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风险等级</w:t>
                  </w:r>
                  <w:r>
                    <w:rPr>
                      <w:rFonts w:hint="eastAsia"/>
                      <w:sz w:val="18"/>
                      <w:szCs w:val="18"/>
                    </w:rPr>
                    <w:t>：</w:t>
                  </w:r>
                  <w:r>
                    <w:rPr>
                      <w:sz w:val="18"/>
                      <w:szCs w:val="18"/>
                    </w:rPr>
                    <w:t>低</w:t>
                  </w: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_x0000_s1054" o:spid="_x0000_s1054" o:spt="20" style="position:absolute;left:0pt;margin-left:270pt;margin-top:15.75pt;height:0.05pt;width:63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rect id="_x0000_s1055" o:spid="_x0000_s1055" o:spt="1" style="position:absolute;left:0pt;margin-left:198pt;margin-top:7.95pt;height:22.85pt;width:72pt;z-index:251682816;mso-width-relative:page;mso-height-relative:page;" fillcolor="#FFFFFF" filled="f" o:preferrelative="t" stroked="t" coordsize="21600,21600">
            <v:path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/>
                      <w:color w:val="000000"/>
                      <w:kern w:val="0"/>
                      <w:lang w:val="zh-CN"/>
                    </w:rPr>
                    <w:t>送达</w:t>
                  </w:r>
                </w:p>
              </w:txbxContent>
            </v:textbox>
          </v:rect>
        </w:pict>
      </w:r>
      <w:r>
        <w:rPr>
          <w:rFonts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pict>
          <v:line id="Line 32" o:spid="_x0000_s1056" o:spt="20" style="position:absolute;left:0pt;flip:x;margin-left:144pt;margin-top:15.75pt;height:0.05pt;width:54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firstLine="315"/>
      </w:pPr>
    </w:p>
    <w:p>
      <w:pPr>
        <w:ind w:firstLine="663"/>
        <w:jc w:val="center"/>
        <w:rPr>
          <w:b/>
          <w:sz w:val="44"/>
        </w:rPr>
      </w:pPr>
    </w:p>
    <w:p>
      <w:pPr>
        <w:ind w:firstLine="663"/>
        <w:jc w:val="center"/>
        <w:rPr>
          <w:b/>
          <w:sz w:val="44"/>
        </w:rPr>
      </w:pPr>
    </w:p>
    <w:p>
      <w:pPr>
        <w:ind w:firstLine="315"/>
        <w:jc w:val="center"/>
        <w:rPr>
          <w:b/>
          <w:sz w:val="44"/>
        </w:rPr>
      </w:pPr>
      <w:bookmarkStart w:id="0" w:name="_GoBack"/>
      <w:bookmarkEnd w:id="0"/>
      <w:r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pict>
          <v:shape id="Text Box 57" o:spid="_x0000_s1057" o:spt="202" type="#_x0000_t202" style="position:absolute;left:0pt;margin-left:270pt;margin-top:26.45pt;height:64.25pt;width:193.65pt;z-index:25169100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gain="65536f" blacklevel="0f" gamma="0" o:title=""/>
            <o:lock v:ext="edit" position="f" selection="f" grouping="f" rotation="f" cropping="f" text="f" aspectratio="f"/>
            <v:textbox inset="7.21pt,1.27mm,7.21pt,1.27mm">
              <w:txbxContent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承办机构：垣曲县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社保</w:t>
                  </w:r>
                  <w:r>
                    <w:rPr>
                      <w:rFonts w:hint="eastAsia" w:ascii="黑体" w:hAnsi="黑体" w:eastAsia="黑体" w:cs="黑体"/>
                      <w:szCs w:val="21"/>
                    </w:rPr>
                    <w:t>中心</w:t>
                  </w: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服务电话：6088132</w:t>
                  </w:r>
                </w:p>
                <w:p>
                  <w:pPr>
                    <w:snapToGrid w:val="0"/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监督电话：6088</w:t>
                  </w:r>
                  <w:r>
                    <w:rPr>
                      <w:rFonts w:hint="eastAsia" w:ascii="黑体" w:hAnsi="黑体" w:eastAsia="黑体" w:cs="黑体"/>
                      <w:szCs w:val="21"/>
                      <w:lang w:val="en-US" w:eastAsia="zh-CN"/>
                    </w:rPr>
                    <w:t>110</w:t>
                  </w:r>
                </w:p>
                <w:p>
                  <w:pPr>
                    <w:snapToGrid w:val="0"/>
                    <w:rPr>
                      <w:rFonts w:ascii="黑体" w:hAnsi="黑体" w:eastAsia="黑体" w:cs="黑体"/>
                      <w:szCs w:val="21"/>
                    </w:rPr>
                  </w:pPr>
                </w:p>
              </w:txbxContent>
            </v:textbox>
          </v:shape>
        </w:pict>
      </w:r>
    </w:p>
    <w:p>
      <w:pPr>
        <w:ind w:firstLine="663"/>
        <w:rPr>
          <w:b/>
          <w:sz w:val="44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588" w:right="1797" w:bottom="1418" w:left="1797" w:header="1077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6020818"/>
    <w:multiLevelType w:val="singleLevel"/>
    <w:tmpl w:val="5602081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75849A9"/>
    <w:rsid w:val="33E907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25"/>
        <o:r id="V:Rule2" type="connector" idref="#_x0000_s1041"/>
        <o:r id="V:Rule3" type="connector" idref="#_x0000_s104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87</Characters>
  <Lines>1</Lines>
  <Paragraphs>1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2016-03-09T06:33:00Z</dcterms:created>
  <dc:creator>lenovo</dc:creator>
  <cp:lastModifiedBy>Administrator</cp:lastModifiedBy>
  <dcterms:modified xsi:type="dcterms:W3CDTF">2023-05-11T02:17:40Z</dcterms:modified>
  <dc:title>垣曲县人社局行政职权风险防控图（行政确认类）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C5D222C088EC47A5B627A3377D814DD4</vt:lpwstr>
  </property>
</Properties>
</file>